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7C88B" w14:textId="77777777" w:rsidR="00983597" w:rsidRPr="00983597" w:rsidRDefault="00983597" w:rsidP="00983597">
      <w:pPr>
        <w:spacing w:after="0" w:line="360" w:lineRule="auto"/>
        <w:rPr>
          <w:rFonts w:ascii="Verdana" w:hAnsi="Verdana"/>
          <w:b/>
          <w:sz w:val="20"/>
          <w:szCs w:val="20"/>
        </w:rPr>
      </w:pPr>
      <w:r w:rsidRPr="00983597">
        <w:rPr>
          <w:rFonts w:ascii="Verdana" w:hAnsi="Verdana"/>
          <w:b/>
          <w:sz w:val="20"/>
          <w:szCs w:val="20"/>
        </w:rPr>
        <w:t>Czy krakowskie powietrze ma dobrą jakość? Zespół z AGH zbadał pył PM2,5 przy użyciu synchrotronu</w:t>
      </w:r>
    </w:p>
    <w:p w14:paraId="4BF52E2D" w14:textId="77777777" w:rsidR="00983597" w:rsidRPr="00983597" w:rsidRDefault="00983597" w:rsidP="00983597">
      <w:pPr>
        <w:spacing w:after="0" w:line="360" w:lineRule="auto"/>
        <w:rPr>
          <w:rFonts w:ascii="Verdana" w:hAnsi="Verdana"/>
          <w:sz w:val="20"/>
          <w:szCs w:val="20"/>
        </w:rPr>
      </w:pPr>
    </w:p>
    <w:p w14:paraId="17F943BD" w14:textId="77777777" w:rsidR="00983597" w:rsidRPr="00983597" w:rsidRDefault="00983597" w:rsidP="00983597">
      <w:pPr>
        <w:spacing w:after="0" w:line="360" w:lineRule="auto"/>
        <w:rPr>
          <w:rFonts w:ascii="Verdana" w:hAnsi="Verdana"/>
          <w:b/>
          <w:sz w:val="20"/>
          <w:szCs w:val="20"/>
        </w:rPr>
      </w:pPr>
      <w:r w:rsidRPr="00983597">
        <w:rPr>
          <w:rFonts w:ascii="Verdana" w:hAnsi="Verdana"/>
          <w:b/>
          <w:sz w:val="20"/>
          <w:szCs w:val="20"/>
        </w:rPr>
        <w:t>Grupa naukowczyń i naukowców z Akademii Górniczo Hutniczej przeprowadziła pierwsze w Polsce badanie pyłu zawieszonego zaawansowaną metodą XANES, która umożliwia precyzyjną identyfikację form chemicznych występujących w nim pierwiastków. Ich znajomość pozwala na wskazanie źródeł zanieczyszczeń powietrza, a także oszacowanie ich wpływu na zdrowie i środowisko.</w:t>
      </w:r>
    </w:p>
    <w:p w14:paraId="50A85B1D" w14:textId="77777777" w:rsidR="00983597" w:rsidRPr="00983597" w:rsidRDefault="00983597" w:rsidP="00983597">
      <w:pPr>
        <w:spacing w:after="0" w:line="360" w:lineRule="auto"/>
        <w:rPr>
          <w:rFonts w:ascii="Verdana" w:hAnsi="Verdana"/>
          <w:sz w:val="20"/>
          <w:szCs w:val="20"/>
        </w:rPr>
      </w:pPr>
    </w:p>
    <w:p w14:paraId="65BC3CE0"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Pył PM2,5 to bardzo niebezpieczny dla zdrowia typ zanieczyszczenia, ponieważ tworzące go cząsteczki o średnicy aerodynamicznej mniejszej niż 2,5 μm mogą wnikać przez płuca wdychających go osób bezpośrednio do krwiobiegu. W skład pyłu mogą wchodzić nie tylko spaliny z kominów czy rur wydechowych samochodów, ale też na przykład drobiny pochodzące ze ścierających się jezdni, opon czy klocków hamulcowych. W celu rozpoznania jakie są źródła zanieczyszczenia pyłem w wybranej lokalizacji oraz jak może ono wpływać na organizm ludzki niezbędne jest przeprowadzenie analizy chemicznej tego zanieczyszczenia. O ile badania w kierunku ustalenia występujących w pyłach pierwiastków oraz ich mas i stężeń są stosunkowo częste, to analizy w celu ustalenia ich specjacji chemicznej należą do rzadkości. Tymczasem forma, w jakiej dany pierwiastek występuje, nie tylko niesie informację o źródle jego pochodzenia, ale również determinuje jego toksyczność i reaktywność.</w:t>
      </w:r>
    </w:p>
    <w:p w14:paraId="0178594F" w14:textId="77777777" w:rsidR="00983597" w:rsidRPr="00983597" w:rsidRDefault="00983597" w:rsidP="00983597">
      <w:pPr>
        <w:spacing w:after="0" w:line="360" w:lineRule="auto"/>
        <w:rPr>
          <w:rFonts w:ascii="Verdana" w:hAnsi="Verdana"/>
          <w:sz w:val="20"/>
          <w:szCs w:val="20"/>
        </w:rPr>
      </w:pPr>
    </w:p>
    <w:p w14:paraId="0106EFD0"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Badania zainicjowane przez dr hab. inż. Lucynę Samek, profesor na Wydziale Fizyki i Informatyki Stosowanej, uzupełniają wiedzę w tym zakresie. Kierowany przez nią zespół przeprowadził analizę specjacji chemicznej próbek pyłu PM2,5 pobranych zimą i latem 2018/2019 i 2020/2021 na stacji monitoringu jakości powietrza AGH w Krakowie. Grupa za pomocą zaawansowanej metody XANES (X-ray Absorption Near Edge Structure) zidentyfikowała obecne w nich związki siarki, potasu, chloru, cynku i żelaza. Wyniki analizy zostały opublikowane na łamach prestiżowego czasopisma „Scientific Reports”.</w:t>
      </w:r>
    </w:p>
    <w:p w14:paraId="022AB650" w14:textId="77777777" w:rsidR="00983597" w:rsidRPr="00983597" w:rsidRDefault="00983597" w:rsidP="00983597">
      <w:pPr>
        <w:spacing w:after="0" w:line="360" w:lineRule="auto"/>
        <w:rPr>
          <w:rFonts w:ascii="Verdana" w:hAnsi="Verdana"/>
          <w:sz w:val="20"/>
          <w:szCs w:val="20"/>
        </w:rPr>
      </w:pPr>
    </w:p>
    <w:p w14:paraId="3BA0DF6F"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To nie tylko pierwsze w Polsce wykorzystanie tej metody w przypadku pyłu PM2,5, ale też jedno z niewielu na świecie. – Dopiero teraz dotarliśmy do nielicznych tego typu badań z Niemiec, Japonii i Stanów Zjednoczonych – wylicza prof. Samek.</w:t>
      </w:r>
    </w:p>
    <w:p w14:paraId="25A871A6" w14:textId="77777777" w:rsidR="00983597" w:rsidRPr="00983597" w:rsidRDefault="00983597" w:rsidP="00983597">
      <w:pPr>
        <w:spacing w:after="0" w:line="360" w:lineRule="auto"/>
        <w:rPr>
          <w:rFonts w:ascii="Verdana" w:hAnsi="Verdana"/>
          <w:sz w:val="20"/>
          <w:szCs w:val="20"/>
        </w:rPr>
      </w:pPr>
    </w:p>
    <w:p w14:paraId="4A1CC33F" w14:textId="77777777" w:rsidR="00983597" w:rsidRPr="00983597" w:rsidRDefault="00983597" w:rsidP="006E44CF">
      <w:pPr>
        <w:spacing w:after="0" w:line="360" w:lineRule="auto"/>
        <w:jc w:val="both"/>
        <w:rPr>
          <w:rFonts w:ascii="Verdana" w:hAnsi="Verdana"/>
          <w:b/>
          <w:sz w:val="20"/>
          <w:szCs w:val="20"/>
        </w:rPr>
      </w:pPr>
      <w:r w:rsidRPr="00983597">
        <w:rPr>
          <w:rFonts w:ascii="Verdana" w:hAnsi="Verdana"/>
          <w:b/>
          <w:sz w:val="20"/>
          <w:szCs w:val="20"/>
        </w:rPr>
        <w:t>Metoda XANES – czemu służy „ostrzeliwanie” atomów promieniami X</w:t>
      </w:r>
    </w:p>
    <w:p w14:paraId="4C7B2ED6" w14:textId="77777777" w:rsidR="00983597" w:rsidRPr="00983597" w:rsidRDefault="00983597" w:rsidP="006E44CF">
      <w:pPr>
        <w:spacing w:after="0" w:line="360" w:lineRule="auto"/>
        <w:jc w:val="both"/>
        <w:rPr>
          <w:rFonts w:ascii="Verdana" w:hAnsi="Verdana"/>
          <w:sz w:val="20"/>
          <w:szCs w:val="20"/>
        </w:rPr>
      </w:pPr>
    </w:p>
    <w:p w14:paraId="779F2A61" w14:textId="443F8B09" w:rsidR="00983404" w:rsidRDefault="00983597" w:rsidP="006E44CF">
      <w:pPr>
        <w:spacing w:after="0" w:line="360" w:lineRule="auto"/>
        <w:jc w:val="both"/>
        <w:rPr>
          <w:rFonts w:ascii="Verdana" w:hAnsi="Verdana"/>
          <w:sz w:val="20"/>
          <w:szCs w:val="20"/>
        </w:rPr>
      </w:pPr>
      <w:r w:rsidRPr="00983597">
        <w:rPr>
          <w:rFonts w:ascii="Verdana" w:hAnsi="Verdana"/>
          <w:sz w:val="20"/>
          <w:szCs w:val="20"/>
        </w:rPr>
        <w:t>W metodzie XANES</w:t>
      </w:r>
      <w:r w:rsidR="00FC034E">
        <w:rPr>
          <w:rFonts w:ascii="Verdana" w:hAnsi="Verdana"/>
          <w:sz w:val="20"/>
          <w:szCs w:val="20"/>
        </w:rPr>
        <w:t>, próbkę bada się</w:t>
      </w:r>
      <w:r w:rsidR="00983404">
        <w:rPr>
          <w:rFonts w:ascii="Verdana" w:hAnsi="Verdana"/>
          <w:sz w:val="20"/>
          <w:szCs w:val="20"/>
        </w:rPr>
        <w:t xml:space="preserve"> </w:t>
      </w:r>
      <w:r w:rsidRPr="00983597">
        <w:rPr>
          <w:rFonts w:ascii="Verdana" w:hAnsi="Verdana"/>
          <w:sz w:val="20"/>
          <w:szCs w:val="20"/>
        </w:rPr>
        <w:t xml:space="preserve">za pomocą wiązki promieniowania rentgenowskiego (X). </w:t>
      </w:r>
      <w:r w:rsidR="007D63B8" w:rsidRPr="007D63B8">
        <w:rPr>
          <w:rFonts w:ascii="Verdana" w:hAnsi="Verdana"/>
          <w:sz w:val="20"/>
          <w:szCs w:val="20"/>
        </w:rPr>
        <w:t>Oddziaływanie fotonów rentgenowskich z atomami prowadzi do absorpcji</w:t>
      </w:r>
      <w:r w:rsidR="00983404">
        <w:rPr>
          <w:rFonts w:ascii="Verdana" w:hAnsi="Verdana"/>
          <w:sz w:val="20"/>
          <w:szCs w:val="20"/>
        </w:rPr>
        <w:t xml:space="preserve"> przez nie</w:t>
      </w:r>
      <w:r w:rsidR="007D63B8" w:rsidRPr="007D63B8">
        <w:rPr>
          <w:rFonts w:ascii="Verdana" w:hAnsi="Verdana"/>
          <w:sz w:val="20"/>
          <w:szCs w:val="20"/>
        </w:rPr>
        <w:t xml:space="preserve"> </w:t>
      </w:r>
      <w:r w:rsidR="007D63B8" w:rsidRPr="007D63B8">
        <w:rPr>
          <w:rFonts w:ascii="Verdana" w:hAnsi="Verdana"/>
          <w:sz w:val="20"/>
          <w:szCs w:val="20"/>
        </w:rPr>
        <w:lastRenderedPageBreak/>
        <w:t>energii i wybicia elektronów z</w:t>
      </w:r>
      <w:r w:rsidR="00983404">
        <w:rPr>
          <w:rFonts w:ascii="Verdana" w:hAnsi="Verdana"/>
          <w:sz w:val="20"/>
          <w:szCs w:val="20"/>
        </w:rPr>
        <w:t xml:space="preserve"> ich</w:t>
      </w:r>
      <w:r w:rsidR="007D63B8" w:rsidRPr="007D63B8">
        <w:rPr>
          <w:rFonts w:ascii="Verdana" w:hAnsi="Verdana"/>
          <w:sz w:val="20"/>
          <w:szCs w:val="20"/>
        </w:rPr>
        <w:t xml:space="preserve"> powłok wewnętrznych. </w:t>
      </w:r>
      <w:r w:rsidR="00832F31" w:rsidRPr="00832F31">
        <w:rPr>
          <w:rFonts w:ascii="Verdana" w:hAnsi="Verdana"/>
          <w:sz w:val="20"/>
          <w:szCs w:val="20"/>
        </w:rPr>
        <w:t xml:space="preserve">Minimalna energia potrzebna do </w:t>
      </w:r>
      <w:r w:rsidR="00832F31">
        <w:rPr>
          <w:rFonts w:ascii="Verdana" w:hAnsi="Verdana"/>
          <w:sz w:val="20"/>
          <w:szCs w:val="20"/>
        </w:rPr>
        <w:t>wyrwania</w:t>
      </w:r>
      <w:r w:rsidR="00832F31" w:rsidRPr="00832F31">
        <w:rPr>
          <w:rFonts w:ascii="Verdana" w:hAnsi="Verdana"/>
          <w:sz w:val="20"/>
          <w:szCs w:val="20"/>
        </w:rPr>
        <w:t xml:space="preserve"> elektronu z danej powłoki nazywana jest krawędzią absorpcji.</w:t>
      </w:r>
      <w:r w:rsidR="00832F31">
        <w:rPr>
          <w:rFonts w:ascii="Verdana" w:hAnsi="Verdana"/>
          <w:sz w:val="20"/>
          <w:szCs w:val="20"/>
        </w:rPr>
        <w:t xml:space="preserve"> </w:t>
      </w:r>
      <w:r w:rsidR="006E44CF">
        <w:rPr>
          <w:rFonts w:ascii="Verdana" w:hAnsi="Verdana"/>
          <w:sz w:val="20"/>
          <w:szCs w:val="20"/>
        </w:rPr>
        <w:t>Ta krawędź</w:t>
      </w:r>
      <w:r w:rsidR="00983404">
        <w:rPr>
          <w:rFonts w:ascii="Verdana" w:hAnsi="Verdana"/>
          <w:sz w:val="20"/>
          <w:szCs w:val="20"/>
        </w:rPr>
        <w:t xml:space="preserve"> jest </w:t>
      </w:r>
      <w:r w:rsidR="007D63B8" w:rsidRPr="007D63B8">
        <w:rPr>
          <w:rFonts w:ascii="Verdana" w:hAnsi="Verdana"/>
          <w:sz w:val="20"/>
          <w:szCs w:val="20"/>
        </w:rPr>
        <w:t xml:space="preserve">silnie zależne od lokalnego otoczenia chemicznego atomu, w szczególności od jego stopnia utlenienia. </w:t>
      </w:r>
      <w:r w:rsidR="00983404">
        <w:rPr>
          <w:rFonts w:ascii="Verdana" w:hAnsi="Verdana"/>
          <w:sz w:val="20"/>
          <w:szCs w:val="20"/>
        </w:rPr>
        <w:t>Dzięki temu, a</w:t>
      </w:r>
      <w:r w:rsidR="007D63B8" w:rsidRPr="007D63B8">
        <w:rPr>
          <w:rFonts w:ascii="Verdana" w:hAnsi="Verdana"/>
          <w:sz w:val="20"/>
          <w:szCs w:val="20"/>
        </w:rPr>
        <w:t xml:space="preserve">naliza </w:t>
      </w:r>
      <w:r w:rsidR="00983404">
        <w:rPr>
          <w:rFonts w:ascii="Verdana" w:hAnsi="Verdana"/>
          <w:sz w:val="20"/>
          <w:szCs w:val="20"/>
        </w:rPr>
        <w:t>tzw. widm absorbcyjnych i</w:t>
      </w:r>
      <w:r w:rsidR="007D63B8" w:rsidRPr="007D63B8">
        <w:rPr>
          <w:rFonts w:ascii="Verdana" w:hAnsi="Verdana"/>
          <w:sz w:val="20"/>
          <w:szCs w:val="20"/>
        </w:rPr>
        <w:t xml:space="preserve"> </w:t>
      </w:r>
      <w:r w:rsidR="00983404">
        <w:rPr>
          <w:rFonts w:ascii="Verdana" w:hAnsi="Verdana"/>
          <w:sz w:val="20"/>
          <w:szCs w:val="20"/>
        </w:rPr>
        <w:t xml:space="preserve">porównanie ich ze znanymi wzorcami </w:t>
      </w:r>
      <w:r w:rsidR="00832F31">
        <w:rPr>
          <w:rFonts w:ascii="Verdana" w:hAnsi="Verdana"/>
          <w:sz w:val="20"/>
          <w:szCs w:val="20"/>
        </w:rPr>
        <w:t xml:space="preserve">umożliwia </w:t>
      </w:r>
      <w:r w:rsidR="00983404">
        <w:rPr>
          <w:rFonts w:ascii="Verdana" w:hAnsi="Verdana"/>
          <w:sz w:val="20"/>
          <w:szCs w:val="20"/>
        </w:rPr>
        <w:t xml:space="preserve">dokładną </w:t>
      </w:r>
      <w:r w:rsidR="007D63B8" w:rsidRPr="007D63B8">
        <w:rPr>
          <w:rFonts w:ascii="Verdana" w:hAnsi="Verdana"/>
          <w:sz w:val="20"/>
          <w:szCs w:val="20"/>
        </w:rPr>
        <w:t>charakterystykę stanów chemicznych</w:t>
      </w:r>
      <w:r w:rsidR="00832F31">
        <w:rPr>
          <w:rFonts w:ascii="Verdana" w:hAnsi="Verdana"/>
          <w:sz w:val="20"/>
          <w:szCs w:val="20"/>
        </w:rPr>
        <w:t xml:space="preserve"> badanych pierwiastków</w:t>
      </w:r>
      <w:r w:rsidR="007D63B8" w:rsidRPr="007D63B8">
        <w:rPr>
          <w:rFonts w:ascii="Verdana" w:hAnsi="Verdana"/>
          <w:sz w:val="20"/>
          <w:szCs w:val="20"/>
        </w:rPr>
        <w:t>.</w:t>
      </w:r>
    </w:p>
    <w:p w14:paraId="4F7F9396" w14:textId="77777777" w:rsidR="00983404" w:rsidRDefault="00983404" w:rsidP="006E44CF">
      <w:pPr>
        <w:spacing w:after="0" w:line="360" w:lineRule="auto"/>
        <w:jc w:val="both"/>
        <w:rPr>
          <w:rFonts w:ascii="Verdana" w:hAnsi="Verdana"/>
          <w:sz w:val="20"/>
          <w:szCs w:val="20"/>
        </w:rPr>
      </w:pPr>
    </w:p>
    <w:p w14:paraId="4C6707B7" w14:textId="4C41FF71" w:rsidR="00983597" w:rsidRPr="00983597" w:rsidRDefault="007D63B8" w:rsidP="006E44CF">
      <w:pPr>
        <w:spacing w:after="0" w:line="360" w:lineRule="auto"/>
        <w:jc w:val="both"/>
        <w:rPr>
          <w:rFonts w:ascii="Verdana" w:hAnsi="Verdana"/>
          <w:sz w:val="20"/>
          <w:szCs w:val="20"/>
        </w:rPr>
      </w:pPr>
      <w:r w:rsidRPr="007D63B8">
        <w:rPr>
          <w:rFonts w:ascii="Verdana" w:hAnsi="Verdana"/>
          <w:sz w:val="20"/>
          <w:szCs w:val="20"/>
        </w:rPr>
        <w:t xml:space="preserve">Do uzyskania wiązki promieniowania o wysokiej jasności i precyzyjnie kontrolowanej energii wykorzystuje się </w:t>
      </w:r>
      <w:r w:rsidRPr="00832F31">
        <w:rPr>
          <w:rFonts w:ascii="Verdana" w:hAnsi="Verdana"/>
          <w:sz w:val="20"/>
          <w:szCs w:val="20"/>
        </w:rPr>
        <w:t xml:space="preserve">synchrotrony elektronowe. </w:t>
      </w:r>
      <w:r w:rsidR="00983597" w:rsidRPr="00983597">
        <w:rPr>
          <w:rFonts w:ascii="Verdana" w:hAnsi="Verdana"/>
          <w:sz w:val="20"/>
          <w:szCs w:val="20"/>
        </w:rPr>
        <w:t xml:space="preserve">Mają one formę pierścienia, w którym elektrony przyspieszane są do prędkości bliskiej prędkości światła. </w:t>
      </w:r>
      <w:r w:rsidR="00A766C5">
        <w:rPr>
          <w:rFonts w:ascii="Verdana" w:hAnsi="Verdana"/>
          <w:sz w:val="20"/>
          <w:szCs w:val="20"/>
        </w:rPr>
        <w:t>Gdy</w:t>
      </w:r>
      <w:r w:rsidR="00A766C5" w:rsidRPr="00983597">
        <w:rPr>
          <w:rFonts w:ascii="Verdana" w:hAnsi="Verdana"/>
          <w:sz w:val="20"/>
          <w:szCs w:val="20"/>
        </w:rPr>
        <w:t xml:space="preserve"> </w:t>
      </w:r>
      <w:r w:rsidR="00983597" w:rsidRPr="00983597">
        <w:rPr>
          <w:rFonts w:ascii="Verdana" w:hAnsi="Verdana"/>
          <w:sz w:val="20"/>
          <w:szCs w:val="20"/>
        </w:rPr>
        <w:t>takie pędzące elektrony zostają zmuszone w urządzeniu do zmiany kierunku swojego ruchu, emitują bardzo intensywne promieniowanie elektromagnetyczne</w:t>
      </w:r>
      <w:r w:rsidR="00A766C5">
        <w:rPr>
          <w:rFonts w:ascii="Verdana" w:hAnsi="Verdana"/>
          <w:sz w:val="20"/>
          <w:szCs w:val="20"/>
        </w:rPr>
        <w:t>, obejmujące</w:t>
      </w:r>
      <w:r w:rsidR="00983597" w:rsidRPr="00983597">
        <w:rPr>
          <w:rFonts w:ascii="Verdana" w:hAnsi="Verdana"/>
          <w:sz w:val="20"/>
          <w:szCs w:val="20"/>
        </w:rPr>
        <w:t xml:space="preserve"> zakres od podczerwieni aż po promieniowanie </w:t>
      </w:r>
      <w:r w:rsidR="00A766C5">
        <w:rPr>
          <w:rFonts w:ascii="Verdana" w:hAnsi="Verdana"/>
          <w:sz w:val="20"/>
          <w:szCs w:val="20"/>
        </w:rPr>
        <w:t>rentgenowskie</w:t>
      </w:r>
      <w:r w:rsidR="00983597" w:rsidRPr="00983597">
        <w:rPr>
          <w:rFonts w:ascii="Verdana" w:hAnsi="Verdana"/>
          <w:sz w:val="20"/>
          <w:szCs w:val="20"/>
        </w:rPr>
        <w:t>.</w:t>
      </w:r>
    </w:p>
    <w:p w14:paraId="279FE733" w14:textId="77777777" w:rsidR="00983597" w:rsidRDefault="00983597" w:rsidP="00983597">
      <w:pPr>
        <w:spacing w:after="0" w:line="360" w:lineRule="auto"/>
        <w:rPr>
          <w:rFonts w:ascii="Verdana" w:hAnsi="Verdana"/>
          <w:sz w:val="20"/>
          <w:szCs w:val="20"/>
        </w:rPr>
      </w:pPr>
    </w:p>
    <w:p w14:paraId="3C7562B3" w14:textId="77777777" w:rsidR="00983597" w:rsidRPr="00983597" w:rsidRDefault="00983597" w:rsidP="00983597">
      <w:pPr>
        <w:spacing w:after="0" w:line="360" w:lineRule="auto"/>
        <w:rPr>
          <w:rFonts w:ascii="Verdana" w:hAnsi="Verdana"/>
          <w:b/>
          <w:sz w:val="20"/>
          <w:szCs w:val="20"/>
        </w:rPr>
      </w:pPr>
      <w:r w:rsidRPr="00983597">
        <w:rPr>
          <w:rFonts w:ascii="Verdana" w:hAnsi="Verdana"/>
          <w:b/>
          <w:sz w:val="20"/>
          <w:szCs w:val="20"/>
        </w:rPr>
        <w:t>Synchrotron SOLARIS w Krakowie – jedyny w naszej części Europy</w:t>
      </w:r>
    </w:p>
    <w:p w14:paraId="7E583854" w14:textId="77777777" w:rsidR="00983597" w:rsidRPr="00983597" w:rsidRDefault="00983597" w:rsidP="00983597">
      <w:pPr>
        <w:spacing w:after="0" w:line="360" w:lineRule="auto"/>
        <w:rPr>
          <w:rFonts w:ascii="Verdana" w:hAnsi="Verdana"/>
          <w:sz w:val="20"/>
          <w:szCs w:val="20"/>
        </w:rPr>
      </w:pPr>
    </w:p>
    <w:p w14:paraId="1975DD6A"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Synchrotrony elektronowe to najczęściej olbrzymie urządzenia, których obwody mierzone są w dziesiątkach i setkach metrów (podobieństwo ze słynnym Wielkim Zderzaczem Hadronów, który został jednak zbudowany w zupełnie innym celu, nie jest tu przypadkowe). Koszty budowy takiej aparatury oraz towarzyszącej jej infrastruktury są bardzo duże, w związku z czym miejsc umożliwiających tego typu badania znajduje się na świecie jedynie kilkadziesiąt. Jednym z nich jest Narodowe Centrum Promieniowania Synchrotronowego SOLARIS, które od 2015 roku działa przy Uniwersytecie Jagiellońskim w Krakowie. Placówka, która położona jest w południowej części miasta, na terenie Kampusu 600-lecia Odnowienia UJ, dysponuje jedynym synchrotronem w Europie Środkowo-Wschodniej – jego obwód to 96 metrów – i udostępnia badaczom 8 linii pomiarowych, a 2 kolejne są w przygotowaniu.</w:t>
      </w:r>
    </w:p>
    <w:p w14:paraId="59BBD863" w14:textId="77777777" w:rsidR="00983597" w:rsidRPr="00983597" w:rsidRDefault="00983597" w:rsidP="00983597">
      <w:pPr>
        <w:spacing w:after="0" w:line="360" w:lineRule="auto"/>
        <w:rPr>
          <w:rFonts w:ascii="Verdana" w:hAnsi="Verdana"/>
          <w:sz w:val="20"/>
          <w:szCs w:val="20"/>
        </w:rPr>
      </w:pPr>
    </w:p>
    <w:p w14:paraId="1669469A"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Prof. Samek, w celu przeprowadzenia badania próbek pyłu PM2,5, uruchomiła projekt na linii ASTRA (Absorption Spectroscopy beamline for Tender energy Range and Above), która została specjalnie zaprojektowana do pomiarów w zakresie promieniowania rentgenowskiego, w tym na krawędziach absorpcji K. Linia  umożliwia prowadzenie badań podstawowych i stosowanych z zakresu chemii, fizyki, materiałoznawstwa i ochrony środowiska.</w:t>
      </w:r>
    </w:p>
    <w:p w14:paraId="5FC6465A" w14:textId="77777777" w:rsidR="00983597" w:rsidRPr="00983597" w:rsidRDefault="00983597" w:rsidP="00983597">
      <w:pPr>
        <w:spacing w:after="0" w:line="360" w:lineRule="auto"/>
        <w:rPr>
          <w:rFonts w:ascii="Verdana" w:hAnsi="Verdana"/>
          <w:sz w:val="20"/>
          <w:szCs w:val="20"/>
        </w:rPr>
      </w:pPr>
    </w:p>
    <w:p w14:paraId="5485E4AD"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 Czasu pomiarowego dostaliśmy w sumie sporo, bo aż trzy doby. Wymagało to jednak zaangażowania grupy osób, ponieważ pomiary na synchrotronie prowadzone są w ramach przyznanego czasu bez chwili przerwy – opisuje prof. Samek.</w:t>
      </w:r>
    </w:p>
    <w:p w14:paraId="2FA2B5F6" w14:textId="77777777" w:rsidR="00983597" w:rsidRPr="006E44CF" w:rsidRDefault="00983597" w:rsidP="00983597">
      <w:pPr>
        <w:spacing w:after="0" w:line="360" w:lineRule="auto"/>
        <w:rPr>
          <w:rFonts w:ascii="Verdana" w:hAnsi="Verdana"/>
          <w:b/>
          <w:sz w:val="20"/>
          <w:szCs w:val="20"/>
        </w:rPr>
      </w:pPr>
      <w:bookmarkStart w:id="0" w:name="_GoBack"/>
      <w:r w:rsidRPr="006E44CF">
        <w:rPr>
          <w:rFonts w:ascii="Verdana" w:hAnsi="Verdana"/>
          <w:b/>
          <w:sz w:val="20"/>
          <w:szCs w:val="20"/>
        </w:rPr>
        <w:lastRenderedPageBreak/>
        <w:t>Synchrotronowe badanie pyłu PM2,5 – co zawiera krakowskie powietrze</w:t>
      </w:r>
    </w:p>
    <w:bookmarkEnd w:id="0"/>
    <w:p w14:paraId="102B748A" w14:textId="77777777" w:rsidR="00983597" w:rsidRPr="00983597" w:rsidRDefault="00983597" w:rsidP="00983597">
      <w:pPr>
        <w:spacing w:after="0" w:line="360" w:lineRule="auto"/>
        <w:rPr>
          <w:rFonts w:ascii="Verdana" w:hAnsi="Verdana"/>
          <w:sz w:val="20"/>
          <w:szCs w:val="20"/>
        </w:rPr>
      </w:pPr>
    </w:p>
    <w:p w14:paraId="6E228143"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Na potrzeby badania, grupa kierowana przez naukowczynię przygotowała wzorcowe próbki związków chemicznych, które spodziewała się zidentyfikować również w próbkach pozyskanych ze stacji monitoringu jakości powietrza. Używając metody XANES, badacze i badaczki w pierwszej kolejności przeprowadzili pomiary spreparowanych przez siebie wzorców, a następnie tą samą metodą pomierzyli próbki pochodzące ze stacji. Następnie porównali ze sobą wyniki uzyskane dla obu typów źródeł. Przeprowadzone badanie pozwoliło rzucić nowe światło na zanieczyszczenia powietrza w Krakowie i ich źródła.</w:t>
      </w:r>
    </w:p>
    <w:p w14:paraId="3CC5CAD8" w14:textId="77777777" w:rsidR="00983597" w:rsidRPr="00983597" w:rsidRDefault="00983597" w:rsidP="00983597">
      <w:pPr>
        <w:spacing w:after="0" w:line="360" w:lineRule="auto"/>
        <w:rPr>
          <w:rFonts w:ascii="Verdana" w:hAnsi="Verdana"/>
          <w:sz w:val="20"/>
          <w:szCs w:val="20"/>
        </w:rPr>
      </w:pPr>
    </w:p>
    <w:p w14:paraId="0B03A2B4"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W próbkach pyłu PM2,5 pobranych latem dominowały siarczany – czyli nieorganiczne związki siarki o wysokim stopniu utlenienia. Znalazły się wśród nich siarczany amonu, cynku, potasu i żelaza. Ich źródłem może być m.in. transport i przemysł. Zimą pojawiły się również bisiarczany, siarczki i organiczne związki siarki. Obecność takich związków jak siarczek cynku (ZnS) czy bisiarczan potasu (KHSO4), będących pochodną ogrzewania domów przy użyciu pieców węglowych, jest kolejnym świadectwem migracji zanieczyszczeń spoza Krakowa, gdzie od jesieni 2019 obowiązuje zakaz palenia węglem i drewnem.</w:t>
      </w:r>
    </w:p>
    <w:p w14:paraId="25858BE3" w14:textId="77777777" w:rsidR="00983597" w:rsidRPr="00983597" w:rsidRDefault="00983597" w:rsidP="00983597">
      <w:pPr>
        <w:spacing w:after="0" w:line="360" w:lineRule="auto"/>
        <w:rPr>
          <w:rFonts w:ascii="Verdana" w:hAnsi="Verdana"/>
          <w:sz w:val="20"/>
          <w:szCs w:val="20"/>
        </w:rPr>
      </w:pPr>
    </w:p>
    <w:p w14:paraId="0F545BA9"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W pyłach z zimy zespół prof. Samek zidentyfikował również chlorki wapnia i sodu, których źródłem jest prawdopodobnie sól używana do zimowego utrzymania dróg. W jednej z próbek pojawiły się również organiczne związki chloru, mogące pochodzić ze spalania gumy lub odpadów przemysłowych.</w:t>
      </w:r>
    </w:p>
    <w:p w14:paraId="324D0DDB" w14:textId="77777777" w:rsidR="00983597" w:rsidRPr="00983597" w:rsidRDefault="00983597" w:rsidP="00983597">
      <w:pPr>
        <w:spacing w:after="0" w:line="360" w:lineRule="auto"/>
        <w:rPr>
          <w:rFonts w:ascii="Verdana" w:hAnsi="Verdana"/>
          <w:sz w:val="20"/>
          <w:szCs w:val="20"/>
        </w:rPr>
      </w:pPr>
    </w:p>
    <w:p w14:paraId="51194B85"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Zidentyfikowane zostały również związki żelaza i cynku o różnych stopniach utlenienia, które mogą być pochodną obecności w powietrzu naturalnego pyłu glebowego, jak też np. pochodzić z procesów ścierania opon i klocków hamulcowych w samochodach.</w:t>
      </w:r>
    </w:p>
    <w:p w14:paraId="527319A9" w14:textId="77777777" w:rsidR="00983597" w:rsidRPr="00983597" w:rsidRDefault="00983597" w:rsidP="00983597">
      <w:pPr>
        <w:spacing w:after="0" w:line="360" w:lineRule="auto"/>
        <w:rPr>
          <w:rFonts w:ascii="Verdana" w:hAnsi="Verdana"/>
          <w:sz w:val="20"/>
          <w:szCs w:val="20"/>
        </w:rPr>
      </w:pPr>
    </w:p>
    <w:p w14:paraId="24AC5B43" w14:textId="77777777" w:rsidR="00983597" w:rsidRPr="00983597" w:rsidRDefault="00983597" w:rsidP="00983597">
      <w:pPr>
        <w:spacing w:after="0" w:line="360" w:lineRule="auto"/>
        <w:rPr>
          <w:rFonts w:ascii="Verdana" w:hAnsi="Verdana"/>
          <w:b/>
          <w:sz w:val="20"/>
          <w:szCs w:val="20"/>
        </w:rPr>
      </w:pPr>
      <w:r w:rsidRPr="00983597">
        <w:rPr>
          <w:rFonts w:ascii="Verdana" w:hAnsi="Verdana"/>
          <w:b/>
          <w:sz w:val="20"/>
          <w:szCs w:val="20"/>
        </w:rPr>
        <w:t>Analizy specjacji chemicznej – jak mogą przysłużyć się miastu</w:t>
      </w:r>
    </w:p>
    <w:p w14:paraId="0335DE47" w14:textId="77777777" w:rsidR="00983597" w:rsidRPr="00983597" w:rsidRDefault="00983597" w:rsidP="00983597">
      <w:pPr>
        <w:spacing w:after="0" w:line="360" w:lineRule="auto"/>
        <w:rPr>
          <w:rFonts w:ascii="Verdana" w:hAnsi="Verdana"/>
          <w:sz w:val="20"/>
          <w:szCs w:val="20"/>
        </w:rPr>
      </w:pPr>
    </w:p>
    <w:p w14:paraId="449D0177" w14:textId="77777777" w:rsidR="00983597" w:rsidRPr="00983597" w:rsidRDefault="00983597" w:rsidP="00983597">
      <w:pPr>
        <w:spacing w:after="0" w:line="360" w:lineRule="auto"/>
        <w:rPr>
          <w:rFonts w:ascii="Verdana" w:hAnsi="Verdana"/>
          <w:sz w:val="20"/>
          <w:szCs w:val="20"/>
        </w:rPr>
      </w:pPr>
      <w:r w:rsidRPr="00983597">
        <w:rPr>
          <w:rFonts w:ascii="Verdana" w:hAnsi="Verdana"/>
          <w:sz w:val="20"/>
          <w:szCs w:val="20"/>
        </w:rPr>
        <w:t>Analizy takie jak przeprowadzona przez zespół z AGH mogą pomóc w lepszym planowaniu działań na rzecz polepszenia jakości powietrza. Władze, dysponując dokładną wiedzą o formach chemicznych zanieczyszczeń i ich pochodzeniu, w prowadzonych kampaniach mogą na przykład skupić się na eliminacji źródeł zanieczyszczeń najbardziej niebezpiecznych dla mieszkańców. Metoda XANES, choć zbyt skomplikowana i kosztowna do stałego monitoringu, będzie stanowić cenne uzupełnienie innych badań prowadzonych z wysoką częstotliwością.</w:t>
      </w:r>
    </w:p>
    <w:p w14:paraId="564E0A7F" w14:textId="77777777" w:rsidR="00983597" w:rsidRPr="00983597" w:rsidRDefault="00983597" w:rsidP="00983597">
      <w:pPr>
        <w:spacing w:after="0" w:line="360" w:lineRule="auto"/>
        <w:rPr>
          <w:rFonts w:ascii="Verdana" w:hAnsi="Verdana"/>
          <w:sz w:val="20"/>
          <w:szCs w:val="20"/>
        </w:rPr>
      </w:pPr>
    </w:p>
    <w:p w14:paraId="0AF599EF" w14:textId="77777777" w:rsidR="00983597" w:rsidRPr="003F3CB0" w:rsidRDefault="00983597" w:rsidP="00983597">
      <w:pPr>
        <w:spacing w:after="0" w:line="360" w:lineRule="auto"/>
        <w:rPr>
          <w:rFonts w:ascii="Verdana" w:hAnsi="Verdana"/>
          <w:sz w:val="20"/>
          <w:szCs w:val="20"/>
        </w:rPr>
      </w:pPr>
      <w:r w:rsidRPr="00983597">
        <w:rPr>
          <w:rFonts w:ascii="Verdana" w:hAnsi="Verdana"/>
          <w:sz w:val="20"/>
          <w:szCs w:val="20"/>
        </w:rPr>
        <w:lastRenderedPageBreak/>
        <w:t xml:space="preserve">Zespół prof. Samek stale pracuje nad rozwijaniem możliwości tej metodyki. </w:t>
      </w:r>
      <w:r w:rsidRPr="003F3CB0">
        <w:rPr>
          <w:rFonts w:ascii="Verdana" w:hAnsi="Verdana"/>
          <w:sz w:val="20"/>
          <w:szCs w:val="20"/>
        </w:rPr>
        <w:t>Aktualnie opracowuje wyniki badania, które przeprowadził w ramach projektu RIANA (Research Infrastructure Access in Nanoscience &amp; Nanotechnology) realizowanego przez siedem największych europejskich sieci infrastruktur badawczych. Naukowczynie i naukowcy z AGH uzyskali dostęp do synchrotronu ALBA w Hiszpanii, gdzie mieli możliwość pracowania na linii badawczej CLAESS. W tym przypadku skupili się na badaniu specjacji chemicznej pierwiastków, które w pyłach są rejestrowane w stężeniach nie przekraczających krajowych i europejskich norm, ale znane są ze swoich toksycznych i kancerogennych właściwości– jak chrom, nikiel i ołów.</w:t>
      </w:r>
    </w:p>
    <w:p w14:paraId="0B1F199A" w14:textId="77777777" w:rsidR="00983597" w:rsidRPr="003F3CB0" w:rsidRDefault="00983597" w:rsidP="00983597">
      <w:pPr>
        <w:spacing w:after="0" w:line="360" w:lineRule="auto"/>
        <w:rPr>
          <w:rFonts w:ascii="Verdana" w:hAnsi="Verdana"/>
          <w:sz w:val="20"/>
          <w:szCs w:val="20"/>
        </w:rPr>
      </w:pPr>
    </w:p>
    <w:p w14:paraId="4325F021" w14:textId="77777777" w:rsidR="00965FD8" w:rsidRPr="00983597" w:rsidRDefault="00983597" w:rsidP="00983597">
      <w:pPr>
        <w:spacing w:after="0" w:line="360" w:lineRule="auto"/>
        <w:rPr>
          <w:rFonts w:ascii="Verdana" w:hAnsi="Verdana"/>
          <w:sz w:val="20"/>
          <w:szCs w:val="20"/>
        </w:rPr>
      </w:pPr>
      <w:r w:rsidRPr="003F3CB0">
        <w:rPr>
          <w:rFonts w:ascii="Verdana" w:hAnsi="Verdana"/>
          <w:sz w:val="20"/>
          <w:szCs w:val="20"/>
        </w:rPr>
        <w:t>Grupa planuje również przeprowadzenie badania próbek pyłu za pomocą transmisyjnego mikroskopu elektronowego, który pozwala oglądać obiekty z nanoskalową rozdzielczością. Wstępne pomiary zostały już przeprowadzone w Akademickim Centrum Materiałów i Nanotechnologii, a finalizacja prac będzie wykonana w Centrum Mikroskopii i Spektroskopii im. Ernsta Ruski w Niemczech (Ernst Ruska-Centrum für Mikroskopie und Spektroskopie mit Elektronen).</w:t>
      </w:r>
    </w:p>
    <w:sectPr w:rsidR="00965FD8" w:rsidRPr="0098359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D46BD6" w16cex:dateUtc="2026-01-30T1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F6F591" w16cid:durableId="6CD46B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47F"/>
    <w:rsid w:val="00032F75"/>
    <w:rsid w:val="00074E09"/>
    <w:rsid w:val="001D5496"/>
    <w:rsid w:val="00376A1E"/>
    <w:rsid w:val="003B34C9"/>
    <w:rsid w:val="003F3CB0"/>
    <w:rsid w:val="00463D3B"/>
    <w:rsid w:val="00567A7D"/>
    <w:rsid w:val="00572885"/>
    <w:rsid w:val="00583046"/>
    <w:rsid w:val="006E44CF"/>
    <w:rsid w:val="007D63B8"/>
    <w:rsid w:val="0081545C"/>
    <w:rsid w:val="00832F31"/>
    <w:rsid w:val="00890F73"/>
    <w:rsid w:val="009524BB"/>
    <w:rsid w:val="00965FD8"/>
    <w:rsid w:val="00983404"/>
    <w:rsid w:val="00983597"/>
    <w:rsid w:val="009C7787"/>
    <w:rsid w:val="00A209A8"/>
    <w:rsid w:val="00A766C5"/>
    <w:rsid w:val="00D4047F"/>
    <w:rsid w:val="00DE302D"/>
    <w:rsid w:val="00E72D25"/>
    <w:rsid w:val="00EA4DBB"/>
    <w:rsid w:val="00EC4AB9"/>
    <w:rsid w:val="00FC03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9F8EA"/>
  <w15:chartTrackingRefBased/>
  <w15:docId w15:val="{51075712-0F94-48CC-9101-7C9C363ED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7D63B8"/>
    <w:pPr>
      <w:spacing w:after="0" w:line="240" w:lineRule="auto"/>
    </w:pPr>
  </w:style>
  <w:style w:type="paragraph" w:styleId="Tekstdymka">
    <w:name w:val="Balloon Text"/>
    <w:basedOn w:val="Normalny"/>
    <w:link w:val="TekstdymkaZnak"/>
    <w:uiPriority w:val="99"/>
    <w:semiHidden/>
    <w:unhideWhenUsed/>
    <w:rsid w:val="00A209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09A8"/>
    <w:rPr>
      <w:rFonts w:ascii="Segoe UI" w:hAnsi="Segoe UI" w:cs="Segoe UI"/>
      <w:sz w:val="18"/>
      <w:szCs w:val="18"/>
    </w:rPr>
  </w:style>
  <w:style w:type="character" w:styleId="Odwoaniedokomentarza">
    <w:name w:val="annotation reference"/>
    <w:basedOn w:val="Domylnaczcionkaakapitu"/>
    <w:uiPriority w:val="99"/>
    <w:semiHidden/>
    <w:unhideWhenUsed/>
    <w:rsid w:val="00DE302D"/>
    <w:rPr>
      <w:sz w:val="16"/>
      <w:szCs w:val="16"/>
    </w:rPr>
  </w:style>
  <w:style w:type="paragraph" w:styleId="Tekstkomentarza">
    <w:name w:val="annotation text"/>
    <w:basedOn w:val="Normalny"/>
    <w:link w:val="TekstkomentarzaZnak"/>
    <w:uiPriority w:val="99"/>
    <w:unhideWhenUsed/>
    <w:rsid w:val="00DE302D"/>
    <w:pPr>
      <w:spacing w:line="240" w:lineRule="auto"/>
    </w:pPr>
    <w:rPr>
      <w:sz w:val="20"/>
      <w:szCs w:val="20"/>
    </w:rPr>
  </w:style>
  <w:style w:type="character" w:customStyle="1" w:styleId="TekstkomentarzaZnak">
    <w:name w:val="Tekst komentarza Znak"/>
    <w:basedOn w:val="Domylnaczcionkaakapitu"/>
    <w:link w:val="Tekstkomentarza"/>
    <w:uiPriority w:val="99"/>
    <w:rsid w:val="00DE302D"/>
    <w:rPr>
      <w:sz w:val="20"/>
      <w:szCs w:val="20"/>
    </w:rPr>
  </w:style>
  <w:style w:type="paragraph" w:styleId="Tematkomentarza">
    <w:name w:val="annotation subject"/>
    <w:basedOn w:val="Tekstkomentarza"/>
    <w:next w:val="Tekstkomentarza"/>
    <w:link w:val="TematkomentarzaZnak"/>
    <w:uiPriority w:val="99"/>
    <w:semiHidden/>
    <w:unhideWhenUsed/>
    <w:rsid w:val="00DE302D"/>
    <w:rPr>
      <w:b/>
      <w:bCs/>
    </w:rPr>
  </w:style>
  <w:style w:type="character" w:customStyle="1" w:styleId="TematkomentarzaZnak">
    <w:name w:val="Temat komentarza Znak"/>
    <w:basedOn w:val="TekstkomentarzaZnak"/>
    <w:link w:val="Tematkomentarza"/>
    <w:uiPriority w:val="99"/>
    <w:semiHidden/>
    <w:rsid w:val="00DE30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1208</Words>
  <Characters>7248</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3</cp:revision>
  <dcterms:created xsi:type="dcterms:W3CDTF">2026-01-30T18:19:00Z</dcterms:created>
  <dcterms:modified xsi:type="dcterms:W3CDTF">2026-02-09T07:30:00Z</dcterms:modified>
</cp:coreProperties>
</file>